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pageBreakBefore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ERASMUS+ PARTNER IDENTIFICATION</w:t>
      </w:r>
    </w:p>
    <w:tbl>
      <w:tblPr>
        <w:tblStyle w:val="Table1"/>
        <w:tblW w:w="9351.0" w:type="dxa"/>
        <w:jc w:val="left"/>
        <w:tblInd w:w="-108.0" w:type="dxa"/>
        <w:tblBorders>
          <w:top w:color="4f81bd" w:space="0" w:sz="4" w:val="single"/>
          <w:left w:color="4f81bd" w:space="0" w:sz="4" w:val="single"/>
          <w:bottom w:color="4f81bd" w:space="0" w:sz="4" w:val="single"/>
          <w:right w:color="4f81bd" w:space="0" w:sz="4" w:val="single"/>
          <w:insideH w:color="000000" w:space="0" w:sz="4" w:val="single"/>
          <w:insideV w:color="000000" w:space="0" w:sz="4" w:val="single"/>
        </w:tblBorders>
        <w:tblLayout w:type="fixed"/>
        <w:tblLook w:val="0400"/>
      </w:tblPr>
      <w:tblGrid>
        <w:gridCol w:w="4663"/>
        <w:gridCol w:w="4688"/>
        <w:tblGridChange w:id="0">
          <w:tblGrid>
            <w:gridCol w:w="4663"/>
            <w:gridCol w:w="4688"/>
          </w:tblGrid>
        </w:tblGridChange>
      </w:tblGrid>
      <w:tr>
        <w:trPr>
          <w:cantSplit w:val="0"/>
          <w:tblHeader w:val="0"/>
        </w:trPr>
        <w:tc>
          <w:tcPr>
            <w:gridSpan w:val="2"/>
            <w:tcBorders>
              <w:top w:color="6d9eeb" w:space="0" w:sz="12" w:val="single"/>
              <w:left w:color="6d9eeb" w:space="0" w:sz="12" w:val="single"/>
              <w:bottom w:color="3c78d8" w:space="0" w:sz="12" w:val="single"/>
              <w:right w:color="6d9eeb" w:space="0" w:sz="12" w:val="single"/>
            </w:tcBorders>
            <w:shd w:fill="6d9eeb" w:val="clear"/>
          </w:tcPr>
          <w:p w:rsidR="00000000" w:rsidDel="00000000" w:rsidP="00000000" w:rsidRDefault="00000000" w:rsidRPr="00000000" w14:paraId="00000003">
            <w:pPr>
              <w:pageBreakBefore w:val="0"/>
              <w:jc w:val="center"/>
              <w:rPr>
                <w:b w:val="1"/>
              </w:rPr>
            </w:pPr>
            <w:r w:rsidDel="00000000" w:rsidR="00000000" w:rsidRPr="00000000">
              <w:rPr>
                <w:b w:val="1"/>
                <w:rtl w:val="0"/>
              </w:rPr>
              <w:t xml:space="preserve">Partner Organization</w:t>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5">
            <w:pPr>
              <w:pageBreakBefore w:val="0"/>
              <w:rPr/>
            </w:pPr>
            <w:r w:rsidDel="00000000" w:rsidR="00000000" w:rsidRPr="00000000">
              <w:rPr>
                <w:rtl w:val="0"/>
              </w:rPr>
              <w:t xml:space="preserve">PIC</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6">
            <w:pPr>
              <w:pageBreakBefore w:val="0"/>
              <w:rPr/>
            </w:pPr>
            <w:r w:rsidDel="00000000" w:rsidR="00000000" w:rsidRPr="00000000">
              <w:rPr>
                <w:rtl w:val="0"/>
              </w:rPr>
              <w:t xml:space="preserve">898568910</w:t>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7">
            <w:pPr>
              <w:pageBreakBefore w:val="0"/>
              <w:rPr/>
            </w:pPr>
            <w:r w:rsidDel="00000000" w:rsidR="00000000" w:rsidRPr="00000000">
              <w:rPr>
                <w:rtl w:val="0"/>
              </w:rPr>
              <w:t xml:space="preserve">OID</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8">
            <w:pPr>
              <w:pageBreakBefore w:val="0"/>
              <w:rPr/>
            </w:pPr>
            <w:r w:rsidDel="00000000" w:rsidR="00000000" w:rsidRPr="00000000">
              <w:rPr>
                <w:rtl w:val="0"/>
              </w:rPr>
              <w:t xml:space="preserve">E10004225</w:t>
            </w:r>
            <w:r w:rsidDel="00000000" w:rsidR="00000000" w:rsidRPr="00000000">
              <w:rPr>
                <w:rtl w:val="0"/>
              </w:rPr>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9">
            <w:pPr>
              <w:pageBreakBefore w:val="0"/>
              <w:rPr/>
            </w:pPr>
            <w:r w:rsidDel="00000000" w:rsidR="00000000" w:rsidRPr="00000000">
              <w:rPr>
                <w:rtl w:val="0"/>
              </w:rPr>
              <w:t xml:space="preserve">Full legal name</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A">
            <w:pPr>
              <w:pageBreakBefore w:val="0"/>
              <w:rPr/>
            </w:pPr>
            <w:r w:rsidDel="00000000" w:rsidR="00000000" w:rsidRPr="00000000">
              <w:rPr>
                <w:rtl w:val="0"/>
              </w:rPr>
              <w:t xml:space="preserve">EQuality</w:t>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B">
            <w:pPr>
              <w:pageBreakBefore w:val="0"/>
              <w:rPr/>
            </w:pPr>
            <w:r w:rsidDel="00000000" w:rsidR="00000000" w:rsidRPr="00000000">
              <w:rPr>
                <w:rtl w:val="0"/>
              </w:rPr>
              <w:t xml:space="preserve">Adress</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C">
            <w:pPr>
              <w:pageBreakBefore w:val="0"/>
              <w:rPr>
                <w:rFonts w:ascii="Arial" w:cs="Arial" w:eastAsia="Arial" w:hAnsi="Arial"/>
                <w:color w:val="e4e6eb"/>
                <w:sz w:val="23"/>
                <w:szCs w:val="23"/>
                <w:shd w:fill="3e4042" w:val="clear"/>
              </w:rPr>
            </w:pPr>
            <w:r w:rsidDel="00000000" w:rsidR="00000000" w:rsidRPr="00000000">
              <w:rPr>
                <w:rtl w:val="0"/>
              </w:rPr>
              <w:t xml:space="preserve">Ostrowy Tuszowskie 19A</w:t>
            </w:r>
            <w:r w:rsidDel="00000000" w:rsidR="00000000" w:rsidRPr="00000000">
              <w:rPr>
                <w:rtl w:val="0"/>
              </w:rPr>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D">
            <w:pPr>
              <w:pageBreakBefore w:val="0"/>
              <w:rPr/>
            </w:pPr>
            <w:r w:rsidDel="00000000" w:rsidR="00000000" w:rsidRPr="00000000">
              <w:rPr>
                <w:rtl w:val="0"/>
              </w:rPr>
              <w:t xml:space="preserve">Postal code</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E">
            <w:pPr>
              <w:pageBreakBefore w:val="0"/>
              <w:rPr/>
            </w:pPr>
            <w:r w:rsidDel="00000000" w:rsidR="00000000" w:rsidRPr="00000000">
              <w:rPr>
                <w:rtl w:val="0"/>
              </w:rPr>
              <w:t xml:space="preserve">36-105</w:t>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0F">
            <w:pPr>
              <w:pageBreakBefore w:val="0"/>
              <w:rPr/>
            </w:pPr>
            <w:r w:rsidDel="00000000" w:rsidR="00000000" w:rsidRPr="00000000">
              <w:rPr>
                <w:rtl w:val="0"/>
              </w:rPr>
              <w:t xml:space="preserve">City</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0">
            <w:pPr>
              <w:pageBreakBefore w:val="0"/>
              <w:rPr/>
            </w:pPr>
            <w:r w:rsidDel="00000000" w:rsidR="00000000" w:rsidRPr="00000000">
              <w:rPr>
                <w:rtl w:val="0"/>
              </w:rPr>
              <w:t xml:space="preserve">Cmolas</w:t>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1">
            <w:pPr>
              <w:pageBreakBefore w:val="0"/>
              <w:rPr/>
            </w:pPr>
            <w:r w:rsidDel="00000000" w:rsidR="00000000" w:rsidRPr="00000000">
              <w:rPr>
                <w:rtl w:val="0"/>
              </w:rPr>
              <w:t xml:space="preserve">Country</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2">
            <w:pPr>
              <w:pageBreakBefore w:val="0"/>
              <w:rPr/>
            </w:pPr>
            <w:r w:rsidDel="00000000" w:rsidR="00000000" w:rsidRPr="00000000">
              <w:rPr>
                <w:rtl w:val="0"/>
              </w:rPr>
              <w:t xml:space="preserve">Poland</w:t>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3">
            <w:pPr>
              <w:pageBreakBefore w:val="0"/>
              <w:rPr/>
            </w:pPr>
            <w:r w:rsidDel="00000000" w:rsidR="00000000" w:rsidRPr="00000000">
              <w:rPr>
                <w:rtl w:val="0"/>
              </w:rPr>
              <w:t xml:space="preserve">E-mail</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4">
            <w:pPr>
              <w:pageBreakBefore w:val="0"/>
              <w:rPr/>
            </w:pPr>
            <w:r w:rsidDel="00000000" w:rsidR="00000000" w:rsidRPr="00000000">
              <w:rPr>
                <w:rtl w:val="0"/>
              </w:rPr>
              <w:t xml:space="preserve">biuro.equality@gmail.com</w:t>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5">
            <w:pPr>
              <w:pageBreakBefore w:val="0"/>
              <w:rPr/>
            </w:pPr>
            <w:r w:rsidDel="00000000" w:rsidR="00000000" w:rsidRPr="00000000">
              <w:rPr>
                <w:rtl w:val="0"/>
              </w:rPr>
              <w:t xml:space="preserve">Facebook:</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6">
            <w:pPr>
              <w:pageBreakBefore w:val="0"/>
              <w:rPr/>
            </w:pPr>
            <w:hyperlink r:id="rId6">
              <w:r w:rsidDel="00000000" w:rsidR="00000000" w:rsidRPr="00000000">
                <w:rPr>
                  <w:color w:val="1155cc"/>
                  <w:u w:val="single"/>
                  <w:rtl w:val="0"/>
                </w:rPr>
                <w:t xml:space="preserve">https://www.facebook.com/EQualitypoland</w:t>
              </w:r>
            </w:hyperlink>
            <w:r w:rsidDel="00000000" w:rsidR="00000000" w:rsidRPr="00000000">
              <w:rPr>
                <w:rtl w:val="0"/>
              </w:rPr>
            </w:r>
          </w:p>
        </w:tc>
      </w:tr>
      <w:tr>
        <w:trPr>
          <w:cantSplit w:val="0"/>
          <w:tblHeader w:val="0"/>
        </w:trPr>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7">
            <w:pPr>
              <w:pageBreakBefore w:val="0"/>
              <w:rPr/>
            </w:pPr>
            <w:r w:rsidDel="00000000" w:rsidR="00000000" w:rsidRPr="00000000">
              <w:rPr>
                <w:rtl w:val="0"/>
              </w:rPr>
              <w:t xml:space="preserve">Instagram:</w:t>
            </w:r>
          </w:p>
        </w:tc>
        <w:tc>
          <w:tcPr>
            <w:tcBorders>
              <w:top w:color="3c78d8" w:space="0" w:sz="12" w:val="single"/>
              <w:left w:color="3c78d8" w:space="0" w:sz="12" w:val="single"/>
              <w:bottom w:color="3c78d8" w:space="0" w:sz="12" w:val="single"/>
              <w:right w:color="3c78d8" w:space="0" w:sz="12" w:val="single"/>
            </w:tcBorders>
            <w:shd w:fill="ffffff" w:val="clear"/>
          </w:tcPr>
          <w:p w:rsidR="00000000" w:rsidDel="00000000" w:rsidP="00000000" w:rsidRDefault="00000000" w:rsidRPr="00000000" w14:paraId="00000018">
            <w:pPr>
              <w:pageBreakBefore w:val="0"/>
              <w:rPr/>
            </w:pPr>
            <w:r w:rsidDel="00000000" w:rsidR="00000000" w:rsidRPr="00000000">
              <w:rPr>
                <w:rtl w:val="0"/>
              </w:rPr>
              <w:t xml:space="preserve">https://www.instagram.com/equality.association/</w:t>
            </w:r>
          </w:p>
        </w:tc>
      </w:tr>
    </w:tbl>
    <w:p w:rsidR="00000000" w:rsidDel="00000000" w:rsidP="00000000" w:rsidRDefault="00000000" w:rsidRPr="00000000" w14:paraId="00000019">
      <w:pPr>
        <w:pageBreakBefore w:val="0"/>
        <w:rPr>
          <w:b w:val="1"/>
        </w:rPr>
      </w:pPr>
      <w:r w:rsidDel="00000000" w:rsidR="00000000" w:rsidRPr="00000000">
        <w:rPr>
          <w:rtl w:val="0"/>
        </w:rPr>
      </w:r>
    </w:p>
    <w:tbl>
      <w:tblPr>
        <w:tblStyle w:val="Table2"/>
        <w:tblW w:w="9495.0" w:type="dxa"/>
        <w:jc w:val="left"/>
        <w:tblInd w:w="-273.0" w:type="dxa"/>
        <w:tblBorders>
          <w:top w:color="4f81bd" w:space="0" w:sz="4" w:val="single"/>
          <w:left w:color="4f81bd" w:space="0" w:sz="4" w:val="single"/>
          <w:bottom w:color="4f81bd" w:space="0" w:sz="4" w:val="single"/>
          <w:right w:color="4f81bd" w:space="0" w:sz="4" w:val="single"/>
          <w:insideH w:color="000000" w:space="0" w:sz="4" w:val="single"/>
          <w:insideV w:color="000000" w:space="0" w:sz="4" w:val="single"/>
        </w:tblBorders>
        <w:tblLayout w:type="fixed"/>
        <w:tblLook w:val="0400"/>
      </w:tblPr>
      <w:tblGrid>
        <w:gridCol w:w="4815"/>
        <w:gridCol w:w="4680"/>
        <w:tblGridChange w:id="0">
          <w:tblGrid>
            <w:gridCol w:w="4815"/>
            <w:gridCol w:w="4680"/>
          </w:tblGrid>
        </w:tblGridChange>
      </w:tblGrid>
      <w:tr>
        <w:trPr>
          <w:cantSplit w:val="0"/>
          <w:tblHeader w:val="0"/>
        </w:trPr>
        <w:tc>
          <w:tcPr>
            <w:gridSpan w:val="2"/>
            <w:tcBorders>
              <w:top w:color="6d9eeb" w:space="0" w:sz="12" w:val="single"/>
              <w:left w:color="6d9eeb" w:space="0" w:sz="12" w:val="single"/>
              <w:bottom w:color="6d9eeb" w:space="0" w:sz="12" w:val="single"/>
              <w:right w:color="6d9eeb" w:space="0" w:sz="12" w:val="single"/>
            </w:tcBorders>
            <w:shd w:fill="6d9eeb" w:val="clear"/>
          </w:tcPr>
          <w:p w:rsidR="00000000" w:rsidDel="00000000" w:rsidP="00000000" w:rsidRDefault="00000000" w:rsidRPr="00000000" w14:paraId="0000001A">
            <w:pPr>
              <w:pageBreakBefore w:val="0"/>
              <w:jc w:val="center"/>
              <w:rPr/>
            </w:pPr>
            <w:r w:rsidDel="00000000" w:rsidR="00000000" w:rsidRPr="00000000">
              <w:rPr>
                <w:b w:val="1"/>
                <w:rtl w:val="0"/>
              </w:rPr>
              <w:t xml:space="preserve">Legal representatives</w:t>
            </w:r>
            <w:r w:rsidDel="00000000" w:rsidR="00000000" w:rsidRPr="00000000">
              <w:rPr>
                <w:rtl w:val="0"/>
              </w:rPr>
            </w:r>
          </w:p>
        </w:tc>
      </w:tr>
      <w:tr>
        <w:trPr>
          <w:cantSplit w:val="0"/>
          <w:tblHeader w:val="0"/>
        </w:trPr>
        <w:tc>
          <w:tcPr>
            <w:tcBorders>
              <w:top w:color="6d9eeb" w:space="0" w:sz="12"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1C">
            <w:pPr>
              <w:pageBreakBefore w:val="0"/>
              <w:rPr/>
            </w:pPr>
            <w:r w:rsidDel="00000000" w:rsidR="00000000" w:rsidRPr="00000000">
              <w:rPr>
                <w:rtl w:val="0"/>
              </w:rPr>
              <w:t xml:space="preserve">First Name</w:t>
            </w:r>
          </w:p>
        </w:tc>
        <w:tc>
          <w:tcPr>
            <w:tcBorders>
              <w:top w:color="6d9eeb" w:space="0" w:sz="12"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1D">
            <w:pPr>
              <w:pageBreakBefore w:val="0"/>
              <w:rPr/>
            </w:pPr>
            <w:r w:rsidDel="00000000" w:rsidR="00000000" w:rsidRPr="00000000">
              <w:rPr>
                <w:rtl w:val="0"/>
              </w:rPr>
              <w:t xml:space="preserve">Klaudia </w:t>
            </w:r>
          </w:p>
        </w:tc>
      </w:tr>
      <w:tr>
        <w:trPr>
          <w:cantSplit w:val="0"/>
          <w:tblHeader w:val="0"/>
        </w:trPr>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1E">
            <w:pPr>
              <w:pageBreakBefore w:val="0"/>
              <w:rPr/>
            </w:pPr>
            <w:r w:rsidDel="00000000" w:rsidR="00000000" w:rsidRPr="00000000">
              <w:rPr>
                <w:rtl w:val="0"/>
              </w:rPr>
              <w:t xml:space="preserve">Family Name</w:t>
            </w:r>
          </w:p>
        </w:tc>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1F">
            <w:pPr>
              <w:pageBreakBefore w:val="0"/>
              <w:rPr/>
            </w:pPr>
            <w:r w:rsidDel="00000000" w:rsidR="00000000" w:rsidRPr="00000000">
              <w:rPr>
                <w:rtl w:val="0"/>
              </w:rPr>
              <w:t xml:space="preserve">Maziarz</w:t>
            </w:r>
          </w:p>
        </w:tc>
      </w:tr>
      <w:tr>
        <w:trPr>
          <w:cantSplit w:val="0"/>
          <w:tblHeader w:val="0"/>
        </w:trPr>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0">
            <w:pPr>
              <w:pageBreakBefore w:val="0"/>
              <w:rPr/>
            </w:pPr>
            <w:r w:rsidDel="00000000" w:rsidR="00000000" w:rsidRPr="00000000">
              <w:rPr>
                <w:rtl w:val="0"/>
              </w:rPr>
              <w:t xml:space="preserve">Position </w:t>
            </w:r>
          </w:p>
        </w:tc>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1">
            <w:pPr>
              <w:pageBreakBefore w:val="0"/>
              <w:rPr/>
            </w:pPr>
            <w:r w:rsidDel="00000000" w:rsidR="00000000" w:rsidRPr="00000000">
              <w:rPr>
                <w:rtl w:val="0"/>
              </w:rPr>
              <w:t xml:space="preserve">Board Member</w:t>
            </w:r>
          </w:p>
        </w:tc>
      </w:tr>
      <w:tr>
        <w:trPr>
          <w:cantSplit w:val="0"/>
          <w:tblHeader w:val="0"/>
        </w:trPr>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2">
            <w:pPr>
              <w:pageBreakBefore w:val="0"/>
              <w:rPr/>
            </w:pPr>
            <w:r w:rsidDel="00000000" w:rsidR="00000000" w:rsidRPr="00000000">
              <w:rPr>
                <w:rtl w:val="0"/>
              </w:rPr>
              <w:t xml:space="preserve">E-mail</w:t>
            </w:r>
          </w:p>
        </w:tc>
        <w:tc>
          <w:tcPr>
            <w:tcBorders>
              <w:top w:color="4f81bd" w:space="0" w:sz="4" w:val="single"/>
              <w:left w:color="4f81bd" w:space="0" w:sz="12" w:val="single"/>
              <w:bottom w:color="4f81bd" w:space="0" w:sz="8" w:val="single"/>
              <w:right w:color="4f81bd" w:space="0" w:sz="12" w:val="single"/>
            </w:tcBorders>
            <w:shd w:fill="ffffff" w:val="clear"/>
          </w:tcPr>
          <w:p w:rsidR="00000000" w:rsidDel="00000000" w:rsidP="00000000" w:rsidRDefault="00000000" w:rsidRPr="00000000" w14:paraId="00000023">
            <w:pPr>
              <w:pageBreakBefore w:val="0"/>
              <w:rPr/>
            </w:pPr>
            <w:r w:rsidDel="00000000" w:rsidR="00000000" w:rsidRPr="00000000">
              <w:rPr>
                <w:rtl w:val="0"/>
              </w:rPr>
              <w:t xml:space="preserve">klaudia.equality@gmail.com</w:t>
            </w:r>
          </w:p>
        </w:tc>
      </w:tr>
      <w:tr>
        <w:trPr>
          <w:cantSplit w:val="0"/>
          <w:tblHeader w:val="0"/>
        </w:trPr>
        <w:tc>
          <w:tcPr>
            <w:tcBorders>
              <w:top w:color="4f81bd" w:space="0" w:sz="4" w:val="single"/>
              <w:left w:color="4f81bd" w:space="0" w:sz="12" w:val="single"/>
              <w:bottom w:color="000000" w:space="0" w:sz="12" w:val="single"/>
              <w:right w:color="4f81bd" w:space="0" w:sz="12" w:val="single"/>
            </w:tcBorders>
            <w:shd w:fill="ffffff" w:val="clear"/>
          </w:tcPr>
          <w:p w:rsidR="00000000" w:rsidDel="00000000" w:rsidP="00000000" w:rsidRDefault="00000000" w:rsidRPr="00000000" w14:paraId="00000024">
            <w:pPr>
              <w:pageBreakBefore w:val="0"/>
              <w:rPr/>
            </w:pPr>
            <w:r w:rsidDel="00000000" w:rsidR="00000000" w:rsidRPr="00000000">
              <w:rPr>
                <w:rtl w:val="0"/>
              </w:rPr>
              <w:t xml:space="preserve">Telephone</w:t>
            </w:r>
          </w:p>
        </w:tc>
        <w:tc>
          <w:tcPr>
            <w:tcBorders>
              <w:top w:color="4f81bd" w:space="0" w:sz="8" w:val="single"/>
              <w:left w:color="4f81bd" w:space="0" w:sz="12" w:val="single"/>
              <w:bottom w:color="000000" w:space="0" w:sz="12" w:val="single"/>
              <w:right w:color="4f81bd" w:space="0" w:sz="12" w:val="single"/>
            </w:tcBorders>
            <w:shd w:fill="ffffff" w:val="clear"/>
          </w:tcPr>
          <w:p w:rsidR="00000000" w:rsidDel="00000000" w:rsidP="00000000" w:rsidRDefault="00000000" w:rsidRPr="00000000" w14:paraId="00000025">
            <w:pPr>
              <w:pageBreakBefore w:val="0"/>
              <w:rPr/>
            </w:pPr>
            <w:r w:rsidDel="00000000" w:rsidR="00000000" w:rsidRPr="00000000">
              <w:rPr>
                <w:rtl w:val="0"/>
              </w:rPr>
              <w:t xml:space="preserve">+48 605868166</w:t>
            </w:r>
          </w:p>
        </w:tc>
      </w:tr>
      <w:tr>
        <w:trPr>
          <w:cantSplit w:val="0"/>
          <w:tblHeader w:val="0"/>
        </w:trPr>
        <w:tc>
          <w:tcPr>
            <w:tcBorders>
              <w:top w:color="000000" w:space="0" w:sz="12"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6">
            <w:pPr>
              <w:pageBreakBefore w:val="0"/>
              <w:rPr/>
            </w:pPr>
            <w:r w:rsidDel="00000000" w:rsidR="00000000" w:rsidRPr="00000000">
              <w:rPr>
                <w:rtl w:val="0"/>
              </w:rPr>
              <w:t xml:space="preserve">First Name</w:t>
            </w:r>
          </w:p>
        </w:tc>
        <w:tc>
          <w:tcPr>
            <w:tcBorders>
              <w:top w:color="000000" w:space="0" w:sz="12"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7">
            <w:pPr>
              <w:pageBreakBefore w:val="0"/>
              <w:rPr/>
            </w:pPr>
            <w:r w:rsidDel="00000000" w:rsidR="00000000" w:rsidRPr="00000000">
              <w:rPr>
                <w:rtl w:val="0"/>
              </w:rPr>
              <w:t xml:space="preserve">Małgorzata</w:t>
            </w:r>
          </w:p>
        </w:tc>
      </w:tr>
      <w:tr>
        <w:trPr>
          <w:cantSplit w:val="0"/>
          <w:tblHeader w:val="0"/>
        </w:trPr>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8">
            <w:pPr>
              <w:pageBreakBefore w:val="0"/>
              <w:rPr/>
            </w:pPr>
            <w:r w:rsidDel="00000000" w:rsidR="00000000" w:rsidRPr="00000000">
              <w:rPr>
                <w:rtl w:val="0"/>
              </w:rPr>
              <w:t xml:space="preserve">Family Name</w:t>
            </w:r>
          </w:p>
        </w:tc>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9">
            <w:pPr>
              <w:pageBreakBefore w:val="0"/>
              <w:rPr/>
            </w:pPr>
            <w:r w:rsidDel="00000000" w:rsidR="00000000" w:rsidRPr="00000000">
              <w:rPr>
                <w:rtl w:val="0"/>
              </w:rPr>
              <w:t xml:space="preserve">Ptaszek</w:t>
            </w:r>
          </w:p>
        </w:tc>
      </w:tr>
      <w:tr>
        <w:trPr>
          <w:cantSplit w:val="0"/>
          <w:tblHeader w:val="0"/>
        </w:trPr>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A">
            <w:pPr>
              <w:pageBreakBefore w:val="0"/>
              <w:rPr/>
            </w:pPr>
            <w:r w:rsidDel="00000000" w:rsidR="00000000" w:rsidRPr="00000000">
              <w:rPr>
                <w:rtl w:val="0"/>
              </w:rPr>
              <w:t xml:space="preserve">Position </w:t>
            </w:r>
          </w:p>
        </w:tc>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B">
            <w:pPr>
              <w:pageBreakBefore w:val="0"/>
              <w:rPr/>
            </w:pPr>
            <w:r w:rsidDel="00000000" w:rsidR="00000000" w:rsidRPr="00000000">
              <w:rPr>
                <w:rtl w:val="0"/>
              </w:rPr>
              <w:t xml:space="preserve">Board Member</w:t>
            </w:r>
          </w:p>
        </w:tc>
      </w:tr>
      <w:tr>
        <w:trPr>
          <w:cantSplit w:val="0"/>
          <w:tblHeader w:val="0"/>
        </w:trPr>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C">
            <w:pPr>
              <w:pageBreakBefore w:val="0"/>
              <w:rPr/>
            </w:pPr>
            <w:r w:rsidDel="00000000" w:rsidR="00000000" w:rsidRPr="00000000">
              <w:rPr>
                <w:rtl w:val="0"/>
              </w:rPr>
              <w:t xml:space="preserve">E-mail</w:t>
            </w:r>
          </w:p>
        </w:tc>
        <w:tc>
          <w:tcPr>
            <w:tcBorders>
              <w:top w:color="4f81bd" w:space="0" w:sz="4" w:val="single"/>
              <w:left w:color="4f81bd" w:space="0" w:sz="12" w:val="single"/>
              <w:bottom w:color="4f81bd" w:space="0" w:sz="4" w:val="single"/>
              <w:right w:color="4f81bd" w:space="0" w:sz="12" w:val="single"/>
            </w:tcBorders>
            <w:shd w:fill="ffffff" w:val="clear"/>
          </w:tcPr>
          <w:p w:rsidR="00000000" w:rsidDel="00000000" w:rsidP="00000000" w:rsidRDefault="00000000" w:rsidRPr="00000000" w14:paraId="0000002D">
            <w:pPr>
              <w:pageBreakBefore w:val="0"/>
              <w:rPr/>
            </w:pPr>
            <w:r w:rsidDel="00000000" w:rsidR="00000000" w:rsidRPr="00000000">
              <w:rPr>
                <w:rtl w:val="0"/>
              </w:rPr>
              <w:t xml:space="preserve">gosia.equality@gmail.com</w:t>
            </w:r>
          </w:p>
        </w:tc>
      </w:tr>
      <w:tr>
        <w:trPr>
          <w:cantSplit w:val="0"/>
          <w:trHeight w:val="255" w:hRule="atLeast"/>
          <w:tblHeader w:val="0"/>
        </w:trPr>
        <w:tc>
          <w:tcPr>
            <w:tcBorders>
              <w:top w:color="4f81bd" w:space="0" w:sz="12" w:val="single"/>
              <w:left w:color="4f81bd" w:space="0" w:sz="12" w:val="single"/>
              <w:bottom w:color="000000" w:space="0" w:sz="12" w:val="single"/>
              <w:right w:color="4f81bd" w:space="0" w:sz="12" w:val="single"/>
            </w:tcBorders>
            <w:shd w:fill="ffffff" w:val="clear"/>
          </w:tcPr>
          <w:p w:rsidR="00000000" w:rsidDel="00000000" w:rsidP="00000000" w:rsidRDefault="00000000" w:rsidRPr="00000000" w14:paraId="0000002E">
            <w:pPr>
              <w:pageBreakBefore w:val="0"/>
              <w:rPr/>
            </w:pPr>
            <w:r w:rsidDel="00000000" w:rsidR="00000000" w:rsidRPr="00000000">
              <w:rPr>
                <w:rtl w:val="0"/>
              </w:rPr>
              <w:t xml:space="preserve">Telephone</w:t>
            </w:r>
          </w:p>
        </w:tc>
        <w:tc>
          <w:tcPr>
            <w:tcBorders>
              <w:top w:color="4f81bd" w:space="0" w:sz="4" w:val="single"/>
              <w:left w:color="4f81bd" w:space="0" w:sz="12" w:val="single"/>
              <w:bottom w:color="000000" w:space="0" w:sz="12" w:val="single"/>
              <w:right w:color="4f81bd" w:space="0" w:sz="12" w:val="single"/>
            </w:tcBorders>
            <w:shd w:fill="ffffff" w:val="clear"/>
          </w:tcPr>
          <w:p w:rsidR="00000000" w:rsidDel="00000000" w:rsidP="00000000" w:rsidRDefault="00000000" w:rsidRPr="00000000" w14:paraId="0000002F">
            <w:pPr>
              <w:pageBreakBefore w:val="0"/>
              <w:rPr/>
            </w:pPr>
            <w:r w:rsidDel="00000000" w:rsidR="00000000" w:rsidRPr="00000000">
              <w:rPr>
                <w:rtl w:val="0"/>
              </w:rPr>
              <w:t xml:space="preserve">+48 600942530</w:t>
            </w:r>
          </w:p>
        </w:tc>
      </w:tr>
    </w:tbl>
    <w:p w:rsidR="00000000" w:rsidDel="00000000" w:rsidP="00000000" w:rsidRDefault="00000000" w:rsidRPr="00000000" w14:paraId="00000030">
      <w:pPr>
        <w:pageBreakBefore w:val="0"/>
        <w:rPr>
          <w:b w:val="1"/>
        </w:rPr>
      </w:pPr>
      <w:r w:rsidDel="00000000" w:rsidR="00000000" w:rsidRPr="00000000">
        <w:rPr>
          <w:rtl w:val="0"/>
        </w:rPr>
      </w:r>
    </w:p>
    <w:tbl>
      <w:tblPr>
        <w:tblStyle w:val="Table3"/>
        <w:tblW w:w="9322.0" w:type="dxa"/>
        <w:jc w:val="left"/>
        <w:tblInd w:w="-108.0" w:type="dxa"/>
        <w:tblBorders>
          <w:top w:color="4f81bd" w:space="0" w:sz="4" w:val="single"/>
          <w:left w:color="4f81bd" w:space="0" w:sz="4" w:val="single"/>
          <w:bottom w:color="4f81bd" w:space="0" w:sz="4" w:val="single"/>
          <w:right w:color="4f81bd" w:space="0" w:sz="4" w:val="single"/>
          <w:insideH w:color="000000" w:space="0" w:sz="4" w:val="single"/>
          <w:insideV w:color="000000" w:space="0" w:sz="4" w:val="single"/>
        </w:tblBorders>
        <w:tblLayout w:type="fixed"/>
        <w:tblLook w:val="0400"/>
      </w:tblPr>
      <w:tblGrid>
        <w:gridCol w:w="4663"/>
        <w:gridCol w:w="4659"/>
        <w:tblGridChange w:id="0">
          <w:tblGrid>
            <w:gridCol w:w="4663"/>
            <w:gridCol w:w="4659"/>
          </w:tblGrid>
        </w:tblGridChange>
      </w:tblGrid>
      <w:tr>
        <w:trPr>
          <w:cantSplit w:val="0"/>
          <w:tblHeader w:val="0"/>
        </w:trPr>
        <w:tc>
          <w:tcPr>
            <w:gridSpan w:val="2"/>
            <w:tcBorders>
              <w:top w:color="6d9eeb" w:space="0" w:sz="12" w:val="single"/>
              <w:left w:color="6d9eeb" w:space="0" w:sz="12" w:val="single"/>
              <w:bottom w:color="6d9eeb" w:space="0" w:sz="12" w:val="single"/>
              <w:right w:color="6d9eeb" w:space="0" w:sz="12" w:val="single"/>
            </w:tcBorders>
            <w:shd w:fill="6d9eeb" w:val="clear"/>
          </w:tcPr>
          <w:p w:rsidR="00000000" w:rsidDel="00000000" w:rsidP="00000000" w:rsidRDefault="00000000" w:rsidRPr="00000000" w14:paraId="00000031">
            <w:pPr>
              <w:pageBreakBefore w:val="0"/>
              <w:jc w:val="center"/>
              <w:rPr/>
            </w:pPr>
            <w:r w:rsidDel="00000000" w:rsidR="00000000" w:rsidRPr="00000000">
              <w:rPr>
                <w:b w:val="1"/>
                <w:rtl w:val="0"/>
              </w:rPr>
              <w:t xml:space="preserve">Profile</w:t>
            </w:r>
            <w:r w:rsidDel="00000000" w:rsidR="00000000" w:rsidRPr="00000000">
              <w:rPr>
                <w:rtl w:val="0"/>
              </w:rPr>
            </w:r>
          </w:p>
        </w:tc>
      </w:tr>
      <w:tr>
        <w:trPr>
          <w:cantSplit w:val="0"/>
          <w:tblHeader w:val="0"/>
        </w:trPr>
        <w:tc>
          <w:tcPr>
            <w:tcBorders>
              <w:top w:color="6d9eeb" w:space="0" w:sz="12" w:val="single"/>
              <w:left w:color="4f81bd" w:space="0" w:sz="12" w:val="single"/>
              <w:bottom w:color="4f81bd" w:space="0" w:sz="12" w:val="single"/>
              <w:right w:color="4f81bd" w:space="0" w:sz="12" w:val="single"/>
            </w:tcBorders>
            <w:shd w:fill="ffffff" w:val="clear"/>
          </w:tcPr>
          <w:p w:rsidR="00000000" w:rsidDel="00000000" w:rsidP="00000000" w:rsidRDefault="00000000" w:rsidRPr="00000000" w14:paraId="00000033">
            <w:pPr>
              <w:pageBreakBefore w:val="0"/>
              <w:rPr/>
            </w:pPr>
            <w:r w:rsidDel="00000000" w:rsidR="00000000" w:rsidRPr="00000000">
              <w:rPr>
                <w:rtl w:val="0"/>
              </w:rPr>
              <w:t xml:space="preserve">Type of organisation </w:t>
            </w:r>
          </w:p>
        </w:tc>
        <w:tc>
          <w:tcPr>
            <w:tcBorders>
              <w:top w:color="6d9eeb" w:space="0" w:sz="12" w:val="single"/>
              <w:left w:color="4f81bd" w:space="0" w:sz="12" w:val="single"/>
              <w:bottom w:color="4f81bd" w:space="0" w:sz="12" w:val="single"/>
              <w:right w:color="4f81bd" w:space="0" w:sz="12" w:val="single"/>
            </w:tcBorders>
            <w:shd w:fill="ffffff" w:val="clear"/>
          </w:tcPr>
          <w:p w:rsidR="00000000" w:rsidDel="00000000" w:rsidP="00000000" w:rsidRDefault="00000000" w:rsidRPr="00000000" w14:paraId="00000034">
            <w:pPr>
              <w:pageBreakBefore w:val="0"/>
              <w:rPr/>
            </w:pPr>
            <w:r w:rsidDel="00000000" w:rsidR="00000000" w:rsidRPr="00000000">
              <w:rPr>
                <w:rtl w:val="0"/>
              </w:rPr>
              <w:t xml:space="preserve">Non-governmental organisation/ Association</w:t>
            </w:r>
          </w:p>
        </w:tc>
      </w:tr>
      <w:tr>
        <w:trPr>
          <w:cantSplit w:val="0"/>
          <w:tblHeader w:val="0"/>
        </w:trPr>
        <w:tc>
          <w:tcPr>
            <w:tcBorders>
              <w:top w:color="4f81bd" w:space="0" w:sz="12" w:val="single"/>
              <w:left w:color="4f81bd" w:space="0" w:sz="12" w:val="single"/>
              <w:bottom w:color="4f81bd" w:space="0" w:sz="12" w:val="single"/>
              <w:right w:color="4f81bd" w:space="0" w:sz="12" w:val="single"/>
            </w:tcBorders>
            <w:shd w:fill="ffffff" w:val="clear"/>
          </w:tcPr>
          <w:p w:rsidR="00000000" w:rsidDel="00000000" w:rsidP="00000000" w:rsidRDefault="00000000" w:rsidRPr="00000000" w14:paraId="00000035">
            <w:pPr>
              <w:pageBreakBefore w:val="0"/>
              <w:rPr/>
            </w:pPr>
            <w:r w:rsidDel="00000000" w:rsidR="00000000" w:rsidRPr="00000000">
              <w:rPr>
                <w:rtl w:val="0"/>
              </w:rPr>
              <w:t xml:space="preserve">Is the partner organisation a public body? </w:t>
            </w:r>
          </w:p>
        </w:tc>
        <w:tc>
          <w:tcPr>
            <w:tcBorders>
              <w:top w:color="4f81bd" w:space="0" w:sz="12" w:val="single"/>
              <w:left w:color="4f81bd" w:space="0" w:sz="12" w:val="single"/>
              <w:bottom w:color="4f81bd" w:space="0" w:sz="12" w:val="single"/>
              <w:right w:color="4f81bd" w:space="0" w:sz="12" w:val="single"/>
            </w:tcBorders>
            <w:shd w:fill="ffffff" w:val="clear"/>
          </w:tcPr>
          <w:p w:rsidR="00000000" w:rsidDel="00000000" w:rsidP="00000000" w:rsidRDefault="00000000" w:rsidRPr="00000000" w14:paraId="00000036">
            <w:pPr>
              <w:pageBreakBefore w:val="0"/>
              <w:rPr/>
            </w:pPr>
            <w:r w:rsidDel="00000000" w:rsidR="00000000" w:rsidRPr="00000000">
              <w:rPr>
                <w:rtl w:val="0"/>
              </w:rPr>
              <w:t xml:space="preserve">No</w:t>
            </w:r>
          </w:p>
        </w:tc>
      </w:tr>
      <w:tr>
        <w:trPr>
          <w:cantSplit w:val="0"/>
          <w:tblHeader w:val="0"/>
        </w:trPr>
        <w:tc>
          <w:tcPr>
            <w:tcBorders>
              <w:top w:color="4f81bd" w:space="0" w:sz="12" w:val="single"/>
              <w:left w:color="4f81bd" w:space="0" w:sz="12" w:val="single"/>
              <w:bottom w:color="4f81bd" w:space="0" w:sz="12" w:val="single"/>
              <w:right w:color="4f81bd" w:space="0" w:sz="12" w:val="single"/>
            </w:tcBorders>
            <w:shd w:fill="ffffff" w:val="clear"/>
          </w:tcPr>
          <w:p w:rsidR="00000000" w:rsidDel="00000000" w:rsidP="00000000" w:rsidRDefault="00000000" w:rsidRPr="00000000" w14:paraId="00000037">
            <w:pPr>
              <w:pageBreakBefore w:val="0"/>
              <w:rPr/>
            </w:pPr>
            <w:r w:rsidDel="00000000" w:rsidR="00000000" w:rsidRPr="00000000">
              <w:rPr>
                <w:rtl w:val="0"/>
              </w:rPr>
              <w:t xml:space="preserve">Is the partner organisation a nonprofit?</w:t>
            </w:r>
          </w:p>
        </w:tc>
        <w:tc>
          <w:tcPr>
            <w:tcBorders>
              <w:top w:color="4f81bd" w:space="0" w:sz="12" w:val="single"/>
              <w:left w:color="4f81bd" w:space="0" w:sz="12" w:val="single"/>
              <w:bottom w:color="4f81bd" w:space="0" w:sz="12" w:val="single"/>
              <w:right w:color="4f81bd" w:space="0" w:sz="12" w:val="single"/>
            </w:tcBorders>
            <w:shd w:fill="ffffff" w:val="clear"/>
          </w:tcPr>
          <w:p w:rsidR="00000000" w:rsidDel="00000000" w:rsidP="00000000" w:rsidRDefault="00000000" w:rsidRPr="00000000" w14:paraId="00000038">
            <w:pPr>
              <w:pageBreakBefore w:val="0"/>
              <w:rPr/>
            </w:pPr>
            <w:r w:rsidDel="00000000" w:rsidR="00000000" w:rsidRPr="00000000">
              <w:rPr>
                <w:rtl w:val="0"/>
              </w:rPr>
              <w:t xml:space="preserve">Yes</w:t>
            </w:r>
          </w:p>
        </w:tc>
      </w:tr>
      <w:tr>
        <w:trPr>
          <w:cantSplit w:val="0"/>
          <w:tblHeader w:val="0"/>
        </w:trPr>
        <w:tc>
          <w:tcPr>
            <w:tcBorders>
              <w:top w:color="4f81bd" w:space="0" w:sz="12" w:val="single"/>
              <w:left w:color="4f81bd" w:space="0" w:sz="12" w:val="single"/>
              <w:bottom w:color="4f81bd" w:space="0" w:sz="12" w:val="single"/>
              <w:right w:color="4f81bd" w:space="0" w:sz="12" w:val="single"/>
            </w:tcBorders>
            <w:shd w:fill="ffffff" w:val="clear"/>
          </w:tcPr>
          <w:p w:rsidR="00000000" w:rsidDel="00000000" w:rsidP="00000000" w:rsidRDefault="00000000" w:rsidRPr="00000000" w14:paraId="00000039">
            <w:pPr>
              <w:pageBreakBefore w:val="0"/>
              <w:rPr/>
            </w:pPr>
            <w:r w:rsidDel="00000000" w:rsidR="00000000" w:rsidRPr="00000000">
              <w:rPr>
                <w:rtl w:val="0"/>
              </w:rPr>
              <w:t xml:space="preserve">Is the partner organisation a public body?</w:t>
            </w:r>
          </w:p>
        </w:tc>
        <w:tc>
          <w:tcPr>
            <w:tcBorders>
              <w:top w:color="4f81bd" w:space="0" w:sz="12" w:val="single"/>
              <w:left w:color="4f81bd" w:space="0" w:sz="12" w:val="single"/>
              <w:bottom w:color="4f81bd" w:space="0" w:sz="12" w:val="single"/>
              <w:right w:color="4f81bd" w:space="0" w:sz="12" w:val="single"/>
            </w:tcBorders>
            <w:shd w:fill="ffffff" w:val="clear"/>
          </w:tcPr>
          <w:p w:rsidR="00000000" w:rsidDel="00000000" w:rsidP="00000000" w:rsidRDefault="00000000" w:rsidRPr="00000000" w14:paraId="0000003A">
            <w:pPr>
              <w:pageBreakBefore w:val="0"/>
              <w:rPr/>
            </w:pPr>
            <w:r w:rsidDel="00000000" w:rsidR="00000000" w:rsidRPr="00000000">
              <w:rPr>
                <w:rtl w:val="0"/>
              </w:rPr>
              <w:t xml:space="preserve">No</w:t>
            </w:r>
          </w:p>
        </w:tc>
      </w:tr>
    </w:tbl>
    <w:p w:rsidR="00000000" w:rsidDel="00000000" w:rsidP="00000000" w:rsidRDefault="00000000" w:rsidRPr="00000000" w14:paraId="0000003B">
      <w:pPr>
        <w:pageBreakBefore w:val="0"/>
        <w:rPr/>
      </w:pPr>
      <w:r w:rsidDel="00000000" w:rsidR="00000000" w:rsidRPr="00000000">
        <w:rPr>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after="0" w:line="360" w:lineRule="auto"/>
        <w:ind w:right="-120"/>
        <w:jc w:val="both"/>
        <w:rPr>
          <w:b w:val="1"/>
          <w:color w:val="4f81bd"/>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b w:val="1"/>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b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b w:val="1"/>
          <w:sz w:val="20"/>
          <w:szCs w:val="2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after="0" w:line="360" w:lineRule="auto"/>
        <w:ind w:right="-120"/>
        <w:jc w:val="both"/>
        <w:rPr>
          <w:b w:val="1"/>
          <w:color w:val="0b539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after="0" w:line="360" w:lineRule="auto"/>
        <w:ind w:right="-120"/>
        <w:jc w:val="both"/>
        <w:rPr>
          <w:rFonts w:ascii="Calibri" w:cs="Calibri" w:eastAsia="Calibri" w:hAnsi="Calibri"/>
          <w:b w:val="1"/>
          <w:color w:val="0b5394"/>
        </w:rPr>
      </w:pPr>
      <w:r w:rsidDel="00000000" w:rsidR="00000000" w:rsidRPr="00000000">
        <w:rPr>
          <w:rFonts w:ascii="Calibri" w:cs="Calibri" w:eastAsia="Calibri" w:hAnsi="Calibri"/>
          <w:b w:val="1"/>
          <w:color w:val="0b5394"/>
          <w:rtl w:val="0"/>
        </w:rPr>
        <w:t xml:space="preserve">Please briefly present the partner organization.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0" w:line="360" w:lineRule="auto"/>
        <w:ind w:right="-120"/>
        <w:jc w:val="both"/>
        <w:rPr>
          <w:b w:val="1"/>
          <w:color w:val="0b5394"/>
        </w:rPr>
      </w:pPr>
      <w:r w:rsidDel="00000000" w:rsidR="00000000" w:rsidRPr="00000000">
        <w:rPr>
          <w:rtl w:val="0"/>
        </w:rPr>
      </w:r>
    </w:p>
    <w:p w:rsidR="00000000" w:rsidDel="00000000" w:rsidP="00000000" w:rsidRDefault="00000000" w:rsidRPr="00000000" w14:paraId="00000043">
      <w:pPr>
        <w:pageBreakBefore w:val="0"/>
        <w:spacing w:line="360" w:lineRule="auto"/>
        <w:jc w:val="both"/>
        <w:rPr>
          <w:sz w:val="24"/>
          <w:szCs w:val="24"/>
        </w:rPr>
      </w:pPr>
      <w:r w:rsidDel="00000000" w:rsidR="00000000" w:rsidRPr="00000000">
        <w:rPr>
          <w:sz w:val="24"/>
          <w:szCs w:val="24"/>
          <w:rtl w:val="0"/>
        </w:rPr>
        <w:t xml:space="preserve">EQuality is a non-profit youth organization based in a  small village - Ostrowy Tuszowskie, Poland. The Subcarpathia</w:t>
      </w:r>
      <w:r w:rsidDel="00000000" w:rsidR="00000000" w:rsidRPr="00000000">
        <w:rPr>
          <w:sz w:val="24"/>
          <w:szCs w:val="24"/>
          <w:rtl w:val="0"/>
        </w:rPr>
        <w:t xml:space="preserve"> region has the highest rate of unemployment in Poland and thus, the aim of our organization is to empower</w:t>
      </w:r>
      <w:r w:rsidDel="00000000" w:rsidR="00000000" w:rsidRPr="00000000">
        <w:rPr>
          <w:sz w:val="24"/>
          <w:szCs w:val="24"/>
          <w:rtl w:val="0"/>
        </w:rPr>
        <w:t xml:space="preserve"> youth, particularly those with fewer opportunities in rural areas. Our primary focus revolves around enhancing the well-being, digital skills, and entrepreneurial capabilities of young individuals. Through our various initiatives, we strive to equip them with the necessary tools and knowledge to succeed in today's rapidly changing world and job market.</w:t>
      </w:r>
    </w:p>
    <w:p w:rsidR="00000000" w:rsidDel="00000000" w:rsidP="00000000" w:rsidRDefault="00000000" w:rsidRPr="00000000" w14:paraId="00000044">
      <w:pPr>
        <w:pageBreakBefore w:val="0"/>
        <w:spacing w:line="360" w:lineRule="auto"/>
        <w:jc w:val="both"/>
        <w:rPr>
          <w:color w:val="d1d5db"/>
          <w:sz w:val="24"/>
          <w:szCs w:val="24"/>
          <w:shd w:fill="444654" w:val="clear"/>
        </w:rPr>
      </w:pPr>
      <w:r w:rsidDel="00000000" w:rsidR="00000000" w:rsidRPr="00000000">
        <w:rPr>
          <w:rtl w:val="0"/>
        </w:rPr>
      </w:r>
    </w:p>
    <w:p w:rsidR="00000000" w:rsidDel="00000000" w:rsidP="00000000" w:rsidRDefault="00000000" w:rsidRPr="00000000" w14:paraId="00000045">
      <w:pPr>
        <w:pageBreakBefore w:val="0"/>
        <w:spacing w:line="360" w:lineRule="auto"/>
        <w:jc w:val="both"/>
        <w:rPr>
          <w:b w:val="1"/>
          <w:sz w:val="24"/>
          <w:szCs w:val="24"/>
        </w:rPr>
      </w:pPr>
      <w:r w:rsidDel="00000000" w:rsidR="00000000" w:rsidRPr="00000000">
        <w:rPr>
          <w:b w:val="1"/>
          <w:sz w:val="24"/>
          <w:szCs w:val="24"/>
          <w:rtl w:val="0"/>
        </w:rPr>
        <w:t xml:space="preserve">Our mission:</w:t>
      </w:r>
    </w:p>
    <w:p w:rsidR="00000000" w:rsidDel="00000000" w:rsidP="00000000" w:rsidRDefault="00000000" w:rsidRPr="00000000" w14:paraId="00000046">
      <w:pPr>
        <w:pageBreakBefore w:val="0"/>
        <w:spacing w:line="360" w:lineRule="auto"/>
        <w:jc w:val="both"/>
        <w:rPr>
          <w:sz w:val="24"/>
          <w:szCs w:val="24"/>
        </w:rPr>
      </w:pPr>
      <w:r w:rsidDel="00000000" w:rsidR="00000000" w:rsidRPr="00000000">
        <w:rPr>
          <w:sz w:val="24"/>
          <w:szCs w:val="24"/>
          <w:rtl w:val="0"/>
        </w:rPr>
        <w:t xml:space="preserve">Our mission centers on nurturing the personal development of young adults by promoting their well-being across different aspects of life. We are committed to fostering digital empowerment and creating opportunities for them to develop essential entrepreneurial skills. To achieve this mission, we actively engage with youth, providing them with a space to thrive and excel</w:t>
      </w:r>
      <w:r w:rsidDel="00000000" w:rsidR="00000000" w:rsidRPr="00000000">
        <w:rPr>
          <w:color w:val="d1d5db"/>
          <w:sz w:val="24"/>
          <w:szCs w:val="24"/>
          <w:rtl w:val="0"/>
        </w:rPr>
        <w:t xml:space="preserve">. </w:t>
      </w:r>
      <w:r w:rsidDel="00000000" w:rsidR="00000000" w:rsidRPr="00000000">
        <w:rPr>
          <w:sz w:val="24"/>
          <w:szCs w:val="24"/>
          <w:rtl w:val="0"/>
        </w:rPr>
        <w:t xml:space="preserve">We are doing so by</w:t>
      </w:r>
      <w:r w:rsidDel="00000000" w:rsidR="00000000" w:rsidRPr="00000000">
        <w:rPr>
          <w:sz w:val="24"/>
          <w:szCs w:val="24"/>
          <w:rtl w:val="0"/>
        </w:rPr>
        <w:t xml:space="preserve"> building a community of like-minded people, inspiring, sharing the idea, as well as organizing events, workshops and international mobilities for youths. We cooperate with different people and organizations that share our values. </w:t>
      </w:r>
      <w:r w:rsidDel="00000000" w:rsidR="00000000" w:rsidRPr="00000000">
        <w:rPr>
          <w:rtl w:val="0"/>
        </w:rPr>
      </w:r>
    </w:p>
    <w:p w:rsidR="00000000" w:rsidDel="00000000" w:rsidP="00000000" w:rsidRDefault="00000000" w:rsidRPr="00000000" w14:paraId="00000047">
      <w:pPr>
        <w:pageBreakBefore w:val="0"/>
        <w:spacing w:line="360" w:lineRule="auto"/>
        <w:jc w:val="both"/>
        <w:rPr>
          <w:sz w:val="24"/>
          <w:szCs w:val="24"/>
        </w:rPr>
      </w:pPr>
      <w:r w:rsidDel="00000000" w:rsidR="00000000" w:rsidRPr="00000000">
        <w:rPr>
          <w:sz w:val="24"/>
          <w:szCs w:val="24"/>
          <w:rtl w:val="0"/>
        </w:rPr>
        <w:t xml:space="preserve">The main objectives and activities pursued by our association are:</w:t>
      </w:r>
    </w:p>
    <w:p w:rsidR="00000000" w:rsidDel="00000000" w:rsidP="00000000" w:rsidRDefault="00000000" w:rsidRPr="00000000" w14:paraId="00000048">
      <w:pPr>
        <w:pageBreakBefore w:val="0"/>
        <w:numPr>
          <w:ilvl w:val="0"/>
          <w:numId w:val="1"/>
        </w:numPr>
        <w:spacing w:after="0" w:afterAutospacing="0" w:line="360" w:lineRule="auto"/>
        <w:ind w:left="720" w:hanging="360"/>
        <w:jc w:val="both"/>
        <w:rPr>
          <w:sz w:val="24"/>
          <w:szCs w:val="24"/>
        </w:rPr>
      </w:pPr>
      <w:r w:rsidDel="00000000" w:rsidR="00000000" w:rsidRPr="00000000">
        <w:rPr>
          <w:b w:val="1"/>
          <w:sz w:val="24"/>
          <w:szCs w:val="24"/>
          <w:rtl w:val="0"/>
        </w:rPr>
        <w:t xml:space="preserve">Enhancing Well-being: </w:t>
      </w:r>
      <w:r w:rsidDel="00000000" w:rsidR="00000000" w:rsidRPr="00000000">
        <w:rPr>
          <w:sz w:val="24"/>
          <w:szCs w:val="24"/>
          <w:rtl w:val="0"/>
        </w:rPr>
        <w:t xml:space="preserve">We are deeply committed to promoting the well-being of youth, both physically and mentally. Through various programs and workshops, we address their emotional, social, and physical needs, helping them lead healthier and happier lives.</w:t>
      </w:r>
    </w:p>
    <w:p w:rsidR="00000000" w:rsidDel="00000000" w:rsidP="00000000" w:rsidRDefault="00000000" w:rsidRPr="00000000" w14:paraId="00000049">
      <w:pPr>
        <w:pageBreakBefore w:val="0"/>
        <w:numPr>
          <w:ilvl w:val="0"/>
          <w:numId w:val="1"/>
        </w:numPr>
        <w:spacing w:after="0" w:afterAutospacing="0" w:line="360" w:lineRule="auto"/>
        <w:ind w:left="720" w:hanging="360"/>
        <w:jc w:val="both"/>
        <w:rPr>
          <w:sz w:val="24"/>
          <w:szCs w:val="24"/>
        </w:rPr>
      </w:pPr>
      <w:r w:rsidDel="00000000" w:rsidR="00000000" w:rsidRPr="00000000">
        <w:rPr>
          <w:b w:val="1"/>
          <w:sz w:val="24"/>
          <w:szCs w:val="24"/>
          <w:rtl w:val="0"/>
        </w:rPr>
        <w:t xml:space="preserve">Building Digital Skills:</w:t>
      </w:r>
      <w:r w:rsidDel="00000000" w:rsidR="00000000" w:rsidRPr="00000000">
        <w:rPr>
          <w:sz w:val="24"/>
          <w:szCs w:val="24"/>
          <w:rtl w:val="0"/>
        </w:rPr>
        <w:t xml:space="preserve"> In today's digital age, digital literacy and skills are crucial for personal and professional growth. We offer comprehensive training and resources to empower youth with the digital skills needed to navigate the modern world effectively.</w:t>
      </w:r>
    </w:p>
    <w:p w:rsidR="00000000" w:rsidDel="00000000" w:rsidP="00000000" w:rsidRDefault="00000000" w:rsidRPr="00000000" w14:paraId="0000004A">
      <w:pPr>
        <w:pageBreakBefore w:val="0"/>
        <w:numPr>
          <w:ilvl w:val="0"/>
          <w:numId w:val="1"/>
        </w:numPr>
        <w:spacing w:after="0" w:afterAutospacing="0" w:line="360" w:lineRule="auto"/>
        <w:ind w:left="720" w:hanging="360"/>
        <w:jc w:val="both"/>
        <w:rPr>
          <w:sz w:val="24"/>
          <w:szCs w:val="24"/>
        </w:rPr>
      </w:pPr>
      <w:r w:rsidDel="00000000" w:rsidR="00000000" w:rsidRPr="00000000">
        <w:rPr>
          <w:b w:val="1"/>
          <w:sz w:val="24"/>
          <w:szCs w:val="24"/>
          <w:rtl w:val="0"/>
        </w:rPr>
        <w:t xml:space="preserve">Fostering Entrepreneurship</w:t>
      </w:r>
      <w:r w:rsidDel="00000000" w:rsidR="00000000" w:rsidRPr="00000000">
        <w:rPr>
          <w:sz w:val="24"/>
          <w:szCs w:val="24"/>
          <w:rtl w:val="0"/>
        </w:rPr>
        <w:t xml:space="preserve">: Entrepreneurship is a key driver of economic growth and innovation. We provide guidance, mentorship, and resources to inspire and support young entrepreneurs in pursuing their business ideas and ambitions.</w:t>
      </w:r>
    </w:p>
    <w:p w:rsidR="00000000" w:rsidDel="00000000" w:rsidP="00000000" w:rsidRDefault="00000000" w:rsidRPr="00000000" w14:paraId="0000004B">
      <w:pPr>
        <w:pageBreakBefore w:val="0"/>
        <w:numPr>
          <w:ilvl w:val="0"/>
          <w:numId w:val="1"/>
        </w:numPr>
        <w:spacing w:after="0" w:afterAutospacing="0" w:line="360" w:lineRule="auto"/>
        <w:ind w:left="720" w:hanging="360"/>
        <w:jc w:val="both"/>
        <w:rPr>
          <w:sz w:val="24"/>
          <w:szCs w:val="24"/>
        </w:rPr>
      </w:pPr>
      <w:r w:rsidDel="00000000" w:rsidR="00000000" w:rsidRPr="00000000">
        <w:rPr>
          <w:b w:val="1"/>
          <w:sz w:val="24"/>
          <w:szCs w:val="24"/>
          <w:rtl w:val="0"/>
        </w:rPr>
        <w:t xml:space="preserve">Education for social change:</w:t>
      </w:r>
      <w:r w:rsidDel="00000000" w:rsidR="00000000" w:rsidRPr="00000000">
        <w:rPr>
          <w:sz w:val="24"/>
          <w:szCs w:val="24"/>
          <w:rtl w:val="0"/>
        </w:rPr>
        <w:t xml:space="preserve"> we promote the idea of well-being  through Non-Formal Education to youth with the idea of finding new youth workers that will be part of this change.</w:t>
      </w:r>
      <w:r w:rsidDel="00000000" w:rsidR="00000000" w:rsidRPr="00000000">
        <w:rPr>
          <w:rtl w:val="0"/>
        </w:rPr>
      </w:r>
    </w:p>
    <w:p w:rsidR="00000000" w:rsidDel="00000000" w:rsidP="00000000" w:rsidRDefault="00000000" w:rsidRPr="00000000" w14:paraId="0000004C">
      <w:pPr>
        <w:pageBreakBefore w:val="0"/>
        <w:numPr>
          <w:ilvl w:val="0"/>
          <w:numId w:val="2"/>
        </w:numPr>
        <w:spacing w:after="0" w:afterAutospacing="0" w:line="360" w:lineRule="auto"/>
        <w:ind w:left="720" w:hanging="360"/>
        <w:jc w:val="both"/>
        <w:rPr>
          <w:sz w:val="24"/>
          <w:szCs w:val="24"/>
        </w:rPr>
      </w:pPr>
      <w:r w:rsidDel="00000000" w:rsidR="00000000" w:rsidRPr="00000000">
        <w:rPr>
          <w:b w:val="1"/>
          <w:sz w:val="24"/>
          <w:szCs w:val="24"/>
          <w:rtl w:val="0"/>
        </w:rPr>
        <w:t xml:space="preserve">S</w:t>
      </w:r>
      <w:r w:rsidDel="00000000" w:rsidR="00000000" w:rsidRPr="00000000">
        <w:rPr>
          <w:b w:val="1"/>
          <w:sz w:val="24"/>
          <w:szCs w:val="24"/>
          <w:rtl w:val="0"/>
        </w:rPr>
        <w:t xml:space="preserve">ocial activation of young people</w:t>
      </w:r>
      <w:r w:rsidDel="00000000" w:rsidR="00000000" w:rsidRPr="00000000">
        <w:rPr>
          <w:sz w:val="24"/>
          <w:szCs w:val="24"/>
          <w:rtl w:val="0"/>
        </w:rPr>
        <w:t xml:space="preserve">, support in development and equalization of opportunities for people from communities at risk of exclusion, especially in rural areas</w:t>
      </w:r>
    </w:p>
    <w:p w:rsidR="00000000" w:rsidDel="00000000" w:rsidP="00000000" w:rsidRDefault="00000000" w:rsidRPr="00000000" w14:paraId="0000004D">
      <w:pPr>
        <w:pageBreakBefore w:val="0"/>
        <w:numPr>
          <w:ilvl w:val="0"/>
          <w:numId w:val="2"/>
        </w:numPr>
        <w:spacing w:after="0" w:afterAutospacing="0" w:line="360" w:lineRule="auto"/>
        <w:ind w:left="720" w:hanging="360"/>
        <w:jc w:val="both"/>
        <w:rPr>
          <w:sz w:val="24"/>
          <w:szCs w:val="24"/>
        </w:rPr>
      </w:pPr>
      <w:r w:rsidDel="00000000" w:rsidR="00000000" w:rsidRPr="00000000">
        <w:rPr>
          <w:b w:val="1"/>
          <w:sz w:val="24"/>
          <w:szCs w:val="24"/>
          <w:rtl w:val="0"/>
        </w:rPr>
        <w:t xml:space="preserve">Promoting international mobility and intercultural learning</w:t>
      </w:r>
      <w:r w:rsidDel="00000000" w:rsidR="00000000" w:rsidRPr="00000000">
        <w:rPr>
          <w:sz w:val="24"/>
          <w:szCs w:val="24"/>
          <w:rtl w:val="0"/>
        </w:rPr>
        <w:t xml:space="preserve"> among young people by programs such as: Erasmus+,</w:t>
      </w:r>
    </w:p>
    <w:p w:rsidR="00000000" w:rsidDel="00000000" w:rsidP="00000000" w:rsidRDefault="00000000" w:rsidRPr="00000000" w14:paraId="0000004E">
      <w:pPr>
        <w:pageBreakBefore w:val="0"/>
        <w:numPr>
          <w:ilvl w:val="0"/>
          <w:numId w:val="2"/>
        </w:numPr>
        <w:spacing w:line="360" w:lineRule="auto"/>
        <w:ind w:left="720" w:hanging="360"/>
        <w:jc w:val="both"/>
        <w:rPr>
          <w:sz w:val="24"/>
          <w:szCs w:val="24"/>
        </w:rPr>
      </w:pPr>
      <w:r w:rsidDel="00000000" w:rsidR="00000000" w:rsidRPr="00000000">
        <w:rPr>
          <w:b w:val="1"/>
          <w:sz w:val="24"/>
          <w:szCs w:val="24"/>
          <w:rtl w:val="0"/>
        </w:rPr>
        <w:t xml:space="preserve">To create opportunities of the learning process</w:t>
      </w:r>
      <w:r w:rsidDel="00000000" w:rsidR="00000000" w:rsidRPr="00000000">
        <w:rPr>
          <w:sz w:val="24"/>
          <w:szCs w:val="24"/>
          <w:rtl w:val="0"/>
        </w:rPr>
        <w:t xml:space="preserve"> providing youth with knowledge, sources, methods and digital tools in order to develop  their personal way of learning.</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after="0" w:line="360" w:lineRule="auto"/>
        <w:ind w:right="-120"/>
        <w:jc w:val="both"/>
        <w:rPr>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pacing w:after="0" w:line="360" w:lineRule="auto"/>
        <w:ind w:right="-120"/>
        <w:jc w:val="both"/>
        <w:rPr>
          <w:b w:val="1"/>
          <w:color w:val="0b5394"/>
          <w:sz w:val="24"/>
          <w:szCs w:val="24"/>
        </w:rPr>
      </w:pPr>
      <w:bookmarkStart w:colFirst="0" w:colLast="0" w:name="_gjdgxs" w:id="0"/>
      <w:bookmarkEnd w:id="0"/>
      <w:r w:rsidDel="00000000" w:rsidR="00000000" w:rsidRPr="00000000">
        <w:rPr>
          <w:b w:val="1"/>
          <w:color w:val="0b5394"/>
          <w:sz w:val="24"/>
          <w:szCs w:val="24"/>
          <w:rtl w:val="0"/>
        </w:rPr>
        <w:t xml:space="preserve">Please give information on the key staff/persons involved in this application and on the competencies and previous experience that they will bring to the project.</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pacing w:after="0" w:line="360" w:lineRule="auto"/>
        <w:ind w:right="-120"/>
        <w:jc w:val="both"/>
        <w:rPr>
          <w:b w:val="1"/>
          <w:color w:val="0b5394"/>
          <w:sz w:val="24"/>
          <w:szCs w:val="24"/>
        </w:rPr>
      </w:pPr>
      <w:bookmarkStart w:colFirst="0" w:colLast="0" w:name="_b4jye8s99k0c" w:id="1"/>
      <w:bookmarkEnd w:id="1"/>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pacing w:after="0" w:line="360" w:lineRule="auto"/>
        <w:ind w:right="-120"/>
        <w:jc w:val="both"/>
        <w:rPr>
          <w:sz w:val="24"/>
          <w:szCs w:val="24"/>
        </w:rPr>
      </w:pPr>
      <w:r w:rsidDel="00000000" w:rsidR="00000000" w:rsidRPr="00000000">
        <w:rPr>
          <w:color w:val="000000"/>
          <w:sz w:val="24"/>
          <w:szCs w:val="24"/>
          <w:rtl w:val="0"/>
        </w:rPr>
        <w:t xml:space="preserve">We are motivated and competent to disseminate the projects on local media contacts, social networks and conduct educational sessions and discussions in our local community. </w:t>
      </w:r>
      <w:r w:rsidDel="00000000" w:rsidR="00000000" w:rsidRPr="00000000">
        <w:rPr>
          <w:sz w:val="24"/>
          <w:szCs w:val="24"/>
          <w:rtl w:val="0"/>
        </w:rPr>
        <w:t xml:space="preserve">We work with youngsters with fewer opportunities from our area and across Poland. We want to include people with fewer opportunities both geographical and economical to participate in our initiatives. We have 2 years of experience as an organization, so far we have managed to organize 1 Youth Exchange</w:t>
      </w:r>
      <w:r w:rsidDel="00000000" w:rsidR="00000000" w:rsidRPr="00000000">
        <w:rPr>
          <w:color w:val="000000"/>
          <w:sz w:val="24"/>
          <w:szCs w:val="24"/>
          <w:rtl w:val="0"/>
        </w:rPr>
        <w:t xml:space="preserve">, </w:t>
      </w:r>
      <w:r w:rsidDel="00000000" w:rsidR="00000000" w:rsidRPr="00000000">
        <w:rPr>
          <w:sz w:val="24"/>
          <w:szCs w:val="24"/>
          <w:rtl w:val="0"/>
        </w:rPr>
        <w:t xml:space="preserve">about emotional intelligence, the topic that goes under our primary priority of enhancing well-being attitudes in youths.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pacing w:after="0" w:line="360" w:lineRule="auto"/>
        <w:ind w:right="-120"/>
        <w:jc w:val="both"/>
        <w:rPr>
          <w:color w:val="333333"/>
          <w:sz w:val="24"/>
          <w:szCs w:val="24"/>
          <w:highlight w:val="white"/>
        </w:rPr>
      </w:pPr>
      <w:r w:rsidDel="00000000" w:rsidR="00000000" w:rsidRPr="00000000">
        <w:rPr>
          <w:sz w:val="24"/>
          <w:szCs w:val="24"/>
          <w:rtl w:val="0"/>
        </w:rPr>
        <w:t xml:space="preserve">The organization's aims for the future are co-learning and cooperating with other European associations creating a strong network to train our youth workers and share methods. With that good practice exchange, we could improve our future initiatives and better facilitate youth in discovering European values by programs of volunteering and mobilities, as well as use this knowledge in the future for developing our local and national community.</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after="0" w:line="360" w:lineRule="auto"/>
        <w:ind w:right="-120"/>
        <w:jc w:val="both"/>
        <w:rPr>
          <w:color w:val="333333"/>
          <w:sz w:val="24"/>
          <w:szCs w:val="24"/>
          <w:highlight w:val="white"/>
        </w:rPr>
      </w:pPr>
      <w:r w:rsidDel="00000000" w:rsidR="00000000" w:rsidRPr="00000000">
        <w:rPr>
          <w:rtl w:val="0"/>
        </w:rPr>
      </w:r>
    </w:p>
    <w:p w:rsidR="00000000" w:rsidDel="00000000" w:rsidP="00000000" w:rsidRDefault="00000000" w:rsidRPr="00000000" w14:paraId="00000055">
      <w:pPr>
        <w:pageBreakBefore w:val="0"/>
        <w:spacing w:line="360" w:lineRule="auto"/>
        <w:jc w:val="both"/>
        <w:rPr>
          <w:sz w:val="24"/>
          <w:szCs w:val="24"/>
        </w:rPr>
      </w:pPr>
      <w:r w:rsidDel="00000000" w:rsidR="00000000" w:rsidRPr="00000000">
        <w:rPr>
          <w:sz w:val="24"/>
          <w:szCs w:val="24"/>
          <w:rtl w:val="0"/>
        </w:rPr>
        <w:t xml:space="preserve">EQuality’s team is very dynamic, has a great cultural and educational background including attendance at conferences, projects, and case competitions. The founders of EQuality are three young activists who have gained their experience in international volunteering and many youths and student exchanges, both as participants and co-organizers. They decided to use their knowledge in practice by creating unique, unforgettable projects. Through their activities in the EQuality Association, they share their knowledge and experience with others and enable them to experience equally amazing moments in exploring the world by themselves. These unique opportunities like youth exchanges have broadened our horizons, given us a chance to learn a lot about ourselves and the world and do networking. Through our activities at the EQuality Association, we would like to give others the opportunity to participate in such initiatives. By participating and organizing previous exchanges, we have gained experience in using non-formal education methods.</w:t>
      </w:r>
    </w:p>
    <w:p w:rsidR="00000000" w:rsidDel="00000000" w:rsidP="00000000" w:rsidRDefault="00000000" w:rsidRPr="00000000" w14:paraId="00000056">
      <w:pPr>
        <w:pageBreakBefore w:val="0"/>
        <w:spacing w:line="360" w:lineRule="auto"/>
        <w:jc w:val="both"/>
        <w:rPr>
          <w:b w:val="1"/>
          <w:sz w:val="24"/>
          <w:szCs w:val="24"/>
        </w:rPr>
      </w:pPr>
      <w:r w:rsidDel="00000000" w:rsidR="00000000" w:rsidRPr="00000000">
        <w:rPr>
          <w:b w:val="1"/>
          <w:sz w:val="24"/>
          <w:szCs w:val="24"/>
          <w:rtl w:val="0"/>
        </w:rPr>
        <w:t xml:space="preserve">Our staff</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sz w:val="24"/>
          <w:szCs w:val="24"/>
        </w:rPr>
      </w:pPr>
      <w:r w:rsidDel="00000000" w:rsidR="00000000" w:rsidRPr="00000000">
        <w:rPr>
          <w:sz w:val="24"/>
          <w:szCs w:val="24"/>
          <w:rtl w:val="0"/>
        </w:rPr>
        <w:t xml:space="preserve">Małgorzata Ptaszek </w:t>
      </w:r>
      <w:r w:rsidDel="00000000" w:rsidR="00000000" w:rsidRPr="00000000">
        <w:rPr>
          <w:sz w:val="24"/>
          <w:szCs w:val="24"/>
          <w:rtl w:val="0"/>
        </w:rPr>
        <w:t xml:space="preserve">is a dynamic youth worker with a unique background in IT product development. She specializes in facilitating workshops and guiding the learning process, making her an effective educator. With a degree in management and finance, she possesses a strong foundation in business and finance. Furthermore, Małgorzata holds a post-diploma degree in Service Design, where she gained expertise in every facet of the Design Thinking process, especially focusing on its application for social change initiatives. Małgorzata actively conducts workshops, sharing her knowledge of digital skills in the workplace and excels in the domain of personal branding. She serves as an inspiring example of how competences acquired through Erasmus+ projects enhance a young person's attractiveness in the job market. Her dedication to empowering young individuals is evident through her commitment to sharing her vast experience with participants in our project. Beyond her academic achievements, Małgorzata has actively participated in various training courses and youth projects, continually expanding her expertise and enriching her contributions to the field of youth development.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sz w:val="24"/>
          <w:szCs w:val="24"/>
        </w:rPr>
      </w:pPr>
      <w:r w:rsidDel="00000000" w:rsidR="00000000" w:rsidRPr="00000000">
        <w:rPr>
          <w:sz w:val="24"/>
          <w:szCs w:val="24"/>
          <w:rtl w:val="0"/>
        </w:rPr>
        <w:t xml:space="preserve">Klaudia Maziarz</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sz w:val="24"/>
          <w:szCs w:val="24"/>
        </w:rPr>
      </w:pPr>
      <w:r w:rsidDel="00000000" w:rsidR="00000000" w:rsidRPr="00000000">
        <w:rPr>
          <w:sz w:val="24"/>
          <w:szCs w:val="24"/>
          <w:rtl w:val="0"/>
        </w:rPr>
        <w:t xml:space="preserve">She is multi-skilled and competent in areas such as media and communications, leadership, youth work, entrepreneurship, project evaluation and team building. A</w:t>
      </w:r>
      <w:r w:rsidDel="00000000" w:rsidR="00000000" w:rsidRPr="00000000">
        <w:rPr>
          <w:sz w:val="24"/>
          <w:szCs w:val="24"/>
          <w:rtl w:val="0"/>
        </w:rPr>
        <w:t xml:space="preserve">s a management graduate combines work in business with social activity. She has practical knowledge in project management from experience as a coordinator of training exercises for managers as well as coordinating youth projects. </w:t>
      </w:r>
      <w:r w:rsidDel="00000000" w:rsidR="00000000" w:rsidRPr="00000000">
        <w:rPr>
          <w:sz w:val="24"/>
          <w:szCs w:val="24"/>
          <w:rtl w:val="0"/>
        </w:rPr>
        <w:t xml:space="preserve">Currently, she is professionally engaged in building the brand image of foreign brands and startups looking to enter the Polish market.</w:t>
      </w:r>
      <w:r w:rsidDel="00000000" w:rsidR="00000000" w:rsidRPr="00000000">
        <w:rPr>
          <w:sz w:val="24"/>
          <w:szCs w:val="24"/>
          <w:rtl w:val="0"/>
        </w:rPr>
        <w:t xml:space="preserve"> She also gained a lot of experience participating in international youth exchanges and training courses financed by the EU. Obtain a Certificate – Leaders’ Workshop NGO - in the field of: managing projects in NGOs and how to succeed in communication.</w:t>
      </w:r>
      <w:r w:rsidDel="00000000" w:rsidR="00000000" w:rsidRPr="00000000">
        <w:rPr>
          <w:sz w:val="24"/>
          <w:szCs w:val="24"/>
          <w:rtl w:val="0"/>
        </w:rPr>
        <w:t xml:space="preserve"> </w:t>
      </w:r>
      <w:r w:rsidDel="00000000" w:rsidR="00000000" w:rsidRPr="00000000">
        <w:rPr>
          <w:sz w:val="24"/>
          <w:szCs w:val="24"/>
          <w:rtl w:val="0"/>
        </w:rPr>
        <w:t xml:space="preserve">In local and Erasmus+ projects, she focuses on both physical and mental health topics. Works on building self-esteem among young people and enhancing their communication skills, which will benefit them both in their personal and professional lives. Additionally, they have experience in conducting recruitment processes and also conduct workshops within the organization on how to properly prepare for interviews and craft motivational letters.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b w:val="1"/>
          <w:sz w:val="24"/>
          <w:szCs w:val="24"/>
          <w:u w:val="single"/>
        </w:rPr>
      </w:pPr>
      <w:r w:rsidDel="00000000" w:rsidR="00000000" w:rsidRPr="00000000">
        <w:rPr>
          <w:b w:val="1"/>
          <w:sz w:val="24"/>
          <w:szCs w:val="24"/>
          <w:u w:val="single"/>
          <w:rtl w:val="0"/>
        </w:rPr>
        <w:t xml:space="preserve">Joanna Walczyk</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sz w:val="24"/>
          <w:szCs w:val="24"/>
        </w:rPr>
      </w:pPr>
      <w:r w:rsidDel="00000000" w:rsidR="00000000" w:rsidRPr="00000000">
        <w:rPr>
          <w:sz w:val="24"/>
          <w:szCs w:val="24"/>
          <w:rtl w:val="0"/>
        </w:rPr>
        <w:t xml:space="preserve">She joined our organization after completing a year of volunteer work in Peru, where she lived in a disadvantaged district of Lima. While there, she faced daily challenges alongside the local residents. She not only provided mental support in their difficult life situations but also organized educational activities, integration trips, and creatively tackled various challenges. Upon returning to Poland, her aim was to continue her work here. She is now implementing best practices in the EQuality Association and is involved in topics such as social inclusion and diversity, with a particular focus on those with fewer opportunities. Her efforts are dedicated to fostering understanding among different communities.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b w:val="1"/>
          <w:sz w:val="24"/>
          <w:szCs w:val="24"/>
          <w:u w:val="single"/>
        </w:rPr>
      </w:pPr>
      <w:r w:rsidDel="00000000" w:rsidR="00000000" w:rsidRPr="00000000">
        <w:rPr>
          <w:b w:val="1"/>
          <w:sz w:val="24"/>
          <w:szCs w:val="24"/>
          <w:u w:val="single"/>
          <w:rtl w:val="0"/>
        </w:rPr>
        <w:t xml:space="preserve">Kinga Maziarz</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sz w:val="24"/>
          <w:szCs w:val="24"/>
        </w:rPr>
      </w:pPr>
      <w:r w:rsidDel="00000000" w:rsidR="00000000" w:rsidRPr="00000000">
        <w:rPr>
          <w:sz w:val="24"/>
          <w:szCs w:val="24"/>
          <w:rtl w:val="0"/>
        </w:rPr>
        <w:t xml:space="preserve">Kinga </w:t>
      </w:r>
      <w:r w:rsidDel="00000000" w:rsidR="00000000" w:rsidRPr="00000000">
        <w:rPr>
          <w:sz w:val="24"/>
          <w:szCs w:val="24"/>
          <w:rtl w:val="0"/>
        </w:rPr>
        <w:t xml:space="preserve">joined us as a volunteer quite a while ago, and now proudly represents the social media department along with all promotional activities. </w:t>
      </w:r>
      <w:r w:rsidDel="00000000" w:rsidR="00000000" w:rsidRPr="00000000">
        <w:rPr>
          <w:sz w:val="24"/>
          <w:szCs w:val="24"/>
          <w:rtl w:val="0"/>
        </w:rPr>
        <w:t xml:space="preserve">Young activist who embodies the ideals of curiosity, fascination with people and a commitment to creating a better world. She is dedicated to discovering new horizons, embracing challenges, and using the power of social media as a testament to the transformative potential of youth activism. </w:t>
      </w:r>
      <w:r w:rsidDel="00000000" w:rsidR="00000000" w:rsidRPr="00000000">
        <w:rPr>
          <w:sz w:val="24"/>
          <w:szCs w:val="24"/>
          <w:rtl w:val="0"/>
        </w:rPr>
        <w:t xml:space="preserve">A creative soul, she always shares ideas for exchanges and local projects, actively engaging in various social groups. She's someone who constantly wants to help and address everyday challenges.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20" w:firstLine="0"/>
        <w:jc w:val="both"/>
        <w:rPr>
          <w:b w:val="1"/>
          <w:sz w:val="24"/>
          <w:szCs w:val="24"/>
        </w:rPr>
      </w:pPr>
      <w:r w:rsidDel="00000000" w:rsidR="00000000" w:rsidRPr="00000000">
        <w:rPr>
          <w:b w:val="1"/>
          <w:sz w:val="24"/>
          <w:szCs w:val="24"/>
          <w:rtl w:val="0"/>
        </w:rPr>
        <w:t xml:space="preserve">Future mission</w:t>
      </w:r>
    </w:p>
    <w:p w:rsidR="00000000" w:rsidDel="00000000" w:rsidP="00000000" w:rsidRDefault="00000000" w:rsidRPr="00000000" w14:paraId="00000062">
      <w:pPr>
        <w:pBdr>
          <w:top w:color="d9d9e3" w:space="0" w:sz="0" w:val="none"/>
          <w:left w:color="d9d9e3" w:space="0" w:sz="0" w:val="none"/>
          <w:bottom w:color="d9d9e3" w:space="0" w:sz="0" w:val="none"/>
          <w:right w:color="d9d9e3" w:space="0" w:sz="0" w:val="none"/>
          <w:between w:color="d9d9e3" w:space="0" w:sz="0" w:val="none"/>
        </w:pBdr>
        <w:spacing w:after="0" w:before="300" w:line="420" w:lineRule="auto"/>
        <w:jc w:val="both"/>
        <w:rPr>
          <w:b w:val="1"/>
        </w:rPr>
      </w:pPr>
      <w:bookmarkStart w:colFirst="0" w:colLast="0" w:name="_ag89sera75nf" w:id="2"/>
      <w:bookmarkEnd w:id="2"/>
      <w:r w:rsidDel="00000000" w:rsidR="00000000" w:rsidRPr="00000000">
        <w:rPr>
          <w:sz w:val="24"/>
          <w:szCs w:val="24"/>
          <w:rtl w:val="0"/>
        </w:rPr>
        <w:t xml:space="preserve">Looking ahead, our organization aims to deepen our impact in the areas of well-being, digital skills, and entrepreneurship among youth. We plan to expand our program offerings and reach more young individuals, equipping them with the essential tools to lead fulfilling lives and thrive in the digital age. Through continuous collaboration and innovation, we are committed to fostering a generation of resilient, digitally competent, and entrepreneurial youth who can make meaningful contributions to their communities and society as a whole.</w:t>
      </w:r>
      <w:r w:rsidDel="00000000" w:rsidR="00000000" w:rsidRPr="00000000">
        <w:rPr>
          <w:rtl w:val="0"/>
        </w:rPr>
      </w:r>
    </w:p>
    <w:p w:rsidR="00000000" w:rsidDel="00000000" w:rsidP="00000000" w:rsidRDefault="00000000" w:rsidRPr="00000000" w14:paraId="00000063">
      <w:pPr>
        <w:pageBreakBefore w:val="0"/>
        <w:spacing w:line="360" w:lineRule="auto"/>
        <w:jc w:val="both"/>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7">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EQuality</w:t>
      <w:tab/>
      <w:tab/>
      <w:tab/>
      <w:t xml:space="preserve">NIP: 1133001677</w:t>
      <w:tab/>
      <w:tab/>
      <w:t xml:space="preserve">biuro.equality@gmail.com</w:t>
      <w:tab/>
    </w:r>
  </w:p>
  <w:p w:rsidR="00000000" w:rsidDel="00000000" w:rsidP="00000000" w:rsidRDefault="00000000" w:rsidRPr="00000000" w14:paraId="00000068">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Ostrowy Tuszowskie 19A</w:t>
    </w:r>
    <w:r w:rsidDel="00000000" w:rsidR="00000000" w:rsidRPr="00000000">
      <w:rPr>
        <w:rtl w:val="0"/>
      </w:rPr>
      <w:tab/>
    </w:r>
    <w:r w:rsidDel="00000000" w:rsidR="00000000" w:rsidRPr="00000000">
      <w:rPr>
        <w:rFonts w:ascii="Century Gothic" w:cs="Century Gothic" w:eastAsia="Century Gothic" w:hAnsi="Century Gothic"/>
        <w:rtl w:val="0"/>
      </w:rPr>
      <w:t xml:space="preserve">Regon: 3839234</w:t>
      <w:tab/>
      <w:tab/>
      <w:tab/>
      <w:tab/>
    </w:r>
  </w:p>
  <w:p w:rsidR="00000000" w:rsidDel="00000000" w:rsidP="00000000" w:rsidRDefault="00000000" w:rsidRPr="00000000" w14:paraId="00000069">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36-105 Cmolas</w:t>
      <w:tab/>
      <w:tab/>
      <w:t xml:space="preserve">tel1: +48 600942530</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t xml:space="preserve">                                                                          </w:t>
    </w:r>
    <w:r w:rsidDel="00000000" w:rsidR="00000000" w:rsidRPr="00000000">
      <w:rPr>
        <w:color w:val="000000"/>
        <w:rtl w:val="0"/>
      </w:rPr>
      <w:t xml:space="preserve"> </w:t>
    </w:r>
    <w:r w:rsidDel="00000000" w:rsidR="00000000" w:rsidRPr="00000000">
      <w:rPr>
        <w:rFonts w:ascii="Arial" w:cs="Arial" w:eastAsia="Arial" w:hAnsi="Arial"/>
      </w:rPr>
      <w:drawing>
        <wp:inline distB="114300" distT="114300" distL="114300" distR="114300">
          <wp:extent cx="944890" cy="82477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44890" cy="824777"/>
                  </a:xfrm>
                  <a:prstGeom prst="rect"/>
                  <a:ln/>
                </pic:spPr>
              </pic:pic>
            </a:graphicData>
          </a:graphic>
        </wp:inline>
      </w:drawing>
    </w: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-104774</wp:posOffset>
          </wp:positionH>
          <wp:positionV relativeFrom="paragraph">
            <wp:posOffset>76200</wp:posOffset>
          </wp:positionV>
          <wp:extent cx="2324418" cy="626439"/>
          <wp:effectExtent b="0" l="0" r="0" t="0"/>
          <wp:wrapSquare wrapText="bothSides" distB="0" distT="0" distL="114300" distR="114300"/>
          <wp:docPr descr="C:\Users\lenovo\Desktop\my ngo\erasmus-plus-logo.jpg" id="2" name="image1.jpg"/>
          <a:graphic>
            <a:graphicData uri="http://schemas.openxmlformats.org/drawingml/2006/picture">
              <pic:pic>
                <pic:nvPicPr>
                  <pic:cNvPr descr="C:\Users\lenovo\Desktop\my ngo\erasmus-plus-logo.jpg" id="0" name="image1.jpg"/>
                  <pic:cNvPicPr preferRelativeResize="0"/>
                </pic:nvPicPr>
                <pic:blipFill>
                  <a:blip r:embed="rId2"/>
                  <a:srcRect b="0" l="0" r="0" t="0"/>
                  <a:stretch>
                    <a:fillRect/>
                  </a:stretch>
                </pic:blipFill>
                <pic:spPr>
                  <a:xfrm>
                    <a:off x="0" y="0"/>
                    <a:ext cx="2324418" cy="626439"/>
                  </a:xfrm>
                  <a:prstGeom prst="rect"/>
                  <a:ln/>
                </pic:spPr>
              </pic:pic>
            </a:graphicData>
          </a:graphic>
        </wp:anchor>
      </w:drawing>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EQualitypoland"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